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附件4：</w:t>
      </w:r>
    </w:p>
    <w:p>
      <w:pPr>
        <w:spacing w:beforeAutospacing="0" w:afterLines="50" w:afterAutospacing="0" w:line="480" w:lineRule="exact"/>
        <w:jc w:val="center"/>
        <w:rPr>
          <w:rFonts w:ascii="方正黑体_GBK" w:hAnsi="宋体" w:eastAsia="方正黑体_GBK"/>
          <w:b/>
          <w:bCs/>
          <w:sz w:val="32"/>
          <w:szCs w:val="32"/>
        </w:rPr>
      </w:pPr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巢湖学院第二课堂课程（项目）分类及计分办法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第二课堂活动课程（</w:t>
      </w: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分为A、B、C、D四种类别，国家级、省级、校级、院级四个层级，每一类别和每一层级学分不同，总学分采取分项目累加计算的办法。每学年开学前两周，核算上一学年的第二课堂学分。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bookmarkStart w:id="0" w:name="_Toc351858972"/>
      <w:bookmarkEnd w:id="0"/>
      <w:bookmarkStart w:id="1" w:name="_Toc351859205"/>
      <w:bookmarkEnd w:id="1"/>
      <w:bookmarkStart w:id="2" w:name="_Toc351997610"/>
      <w:bookmarkEnd w:id="2"/>
      <w:r>
        <w:rPr>
          <w:rFonts w:hint="eastAsia" w:ascii="仿宋_GB2312" w:hAnsi="宋体" w:eastAsia="仿宋_GB2312"/>
          <w:sz w:val="28"/>
          <w:szCs w:val="28"/>
        </w:rPr>
        <w:t>依据《安徽省教育厅关于发布安徽省大学生学科和技能竞赛部分A、B类项目列表（2017版）（皖教秘高〔2017〕48号）和</w:t>
      </w:r>
      <w:r>
        <w:rPr>
          <w:rFonts w:hint="eastAsia" w:ascii="方正仿宋_GBK" w:hAnsi="宋体" w:eastAsia="方正仿宋_GBK"/>
          <w:sz w:val="28"/>
          <w:szCs w:val="28"/>
        </w:rPr>
        <w:t>《巢湖学院大学生学科和技能竞赛管理办法》（校字〔2017〕53 号）</w:t>
      </w:r>
      <w:r>
        <w:rPr>
          <w:rFonts w:hint="eastAsia" w:ascii="仿宋_GB2312" w:hAnsi="宋体" w:eastAsia="仿宋_GB2312"/>
          <w:sz w:val="28"/>
          <w:szCs w:val="28"/>
        </w:rPr>
        <w:t>结合学校实际，制定以下参考标准：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（一）项目类别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A类项目：教育部举办的国家级竞赛、省教育厅认定和批准的其他国家级或国际重大赛事。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B类项目：教育部专业教学指导委员会、行业协会、学会等举办的全国性赛事、安徽省级政府部门（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教育厅、</w:t>
      </w:r>
      <w:r>
        <w:rPr>
          <w:rFonts w:hint="eastAsia" w:ascii="仿宋_GB2312" w:hAnsi="宋体" w:eastAsia="仿宋_GB2312"/>
          <w:sz w:val="28"/>
          <w:szCs w:val="28"/>
        </w:rPr>
        <w:t>科技厅、团省委、财政厅、人力资源和社会保障厅等）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主</w:t>
      </w:r>
      <w:r>
        <w:rPr>
          <w:rFonts w:hint="eastAsia" w:ascii="仿宋_GB2312" w:hAnsi="宋体" w:eastAsia="仿宋_GB2312"/>
          <w:sz w:val="28"/>
          <w:szCs w:val="28"/>
        </w:rPr>
        <w:t>办的全省性或跨省区的学科和技能竞赛，以及省教育厅参与举办的其他重要省级赛事。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C类项目：学校举办的各类竞赛；学院举办的具有专业特色的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有一定影响力的活动</w:t>
      </w:r>
      <w:r>
        <w:rPr>
          <w:rFonts w:hint="eastAsia" w:ascii="仿宋_GB2312" w:hAnsi="宋体" w:eastAsia="仿宋_GB2312"/>
          <w:sz w:val="28"/>
          <w:szCs w:val="28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D类项目：学院、各校级学生组织、各社团开展的精品项目。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（二）项目层级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国家级项目是指由国务院各部(委)、团中央、教育部各学科委员会主办的活动；国家级各社会团体举办的活动，原则上作为省级活动认证学分；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省级项目是指由安徽省各厅(委)、团省委、教育厅各有关部门等主办的活动；省级各社会团体举办的活动，原则上作为校级活动认证学分；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校级项目是指由学校各部门、各学院主办的面向全校学生开展的活动。市级政府及主要党政部门和团市委主办的活动按校级活动认证学分；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院级项目是指学院主办的面向本学院内开展的活动。各校级学生组织、各社团组织开展的精品活动原则上作为院级活动层级认证学分；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学生参加活动的级别认定以实际举办单位（表彰单位）所属级别为准；</w:t>
      </w:r>
      <w:r>
        <w:rPr>
          <w:rFonts w:hint="eastAsia" w:ascii="仿宋_GB2312" w:hAnsi="宋体" w:eastAsia="仿宋_GB2312"/>
          <w:sz w:val="28"/>
          <w:szCs w:val="28"/>
        </w:rPr>
        <w:t>凡具有商业性质的评比竞赛活动，一律不予认证学分。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（三）奖项设置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校内各级活动获奖占参与人数百分比一般为一等奖≤5％、二等奖≤10％、三等奖≤15％，优秀奖≤20％，如设有特等奖、入围奖、优胜奖等奖项视具体情况执行。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（四）计分办法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在校期间参加多项同类活动可以累加，但在同一次活动中不得重复累加，按最高学分计算。同类别下一层级活动分值原则上不能高于上一级，活动不重复计分，逐级选拔的活动只计最高分。各级各类活动分值标准参考《巢湖学院“第二课堂”课程（项目）学分认证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2" w:firstLineChars="200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（五）补充说明：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 原则上，学生只有参与第二课堂课程（项目）库中的活动才可以认证相应学分；如临时参加由</w:t>
      </w:r>
      <w:r>
        <w:rPr>
          <w:rFonts w:hint="eastAsia" w:ascii="仿宋_GB2312" w:hAnsi="宋体" w:eastAsia="仿宋_GB2312"/>
          <w:sz w:val="28"/>
          <w:szCs w:val="28"/>
        </w:rPr>
        <w:t>安徽省教育厅、团省委、等省直部门主办的活动竞赛等，学生需提出学分申请并在“第二课堂”网络平台中上传相关获奖证明材料，报“第二课堂成绩单”领导组办公室审批后方可认证学分。除上述以外其他各类活动竞赛不予认证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.学生的学术论文、专著专利、课题研究、文学作品、艺术作品、考级考证等学分认证，以正式发表的作品、主办单位颁发或出具的获奖证书、正式函件等为准，由“第二课堂成绩单”工作小组统一认证。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3.学生参加的各类讲座、报告会、座谈会、党团校培训、创业培训等分别凭主办方的考勤记录、读书笔记、结业证书、创业事迹材料等进行审核，按有关规定认定学分。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4.学生在校期间要积极参加志愿服务，每服务1小时计0.0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学分，每学年认证不超过1学分，服务时长以“志愿汇”系统记录时长为准。学生参加志愿服务时长及认证学分具体由各级青年志愿者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组织</w:t>
      </w:r>
      <w:r>
        <w:rPr>
          <w:rFonts w:hint="eastAsia" w:ascii="仿宋_GB2312" w:hAnsi="宋体" w:eastAsia="仿宋_GB2312"/>
          <w:sz w:val="28"/>
          <w:szCs w:val="28"/>
        </w:rPr>
        <w:t>负责，校级青年志愿者联合会负责审定、评议、提交至团委审批。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5.学生参加各类社团精品活动，具体参与情况由各类社团负责登记、核实，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经业务主管单位初审后，由学</w:t>
      </w:r>
      <w:r>
        <w:rPr>
          <w:rFonts w:hint="eastAsia" w:ascii="仿宋_GB2312" w:hAnsi="宋体" w:eastAsia="仿宋_GB2312"/>
          <w:sz w:val="28"/>
          <w:szCs w:val="28"/>
        </w:rPr>
        <w:t>校社团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发展中心</w:t>
      </w:r>
      <w:r>
        <w:rPr>
          <w:rFonts w:hint="eastAsia" w:ascii="仿宋_GB2312" w:hAnsi="宋体" w:eastAsia="仿宋_GB2312"/>
          <w:sz w:val="28"/>
          <w:szCs w:val="28"/>
        </w:rPr>
        <w:t>负责审定、评议、提交至校团委审批。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beforeAutospacing="0" w:afterLines="50" w:afterAutospacing="0" w:line="400" w:lineRule="exact"/>
        <w:rPr>
          <w:rFonts w:hint="eastAsia" w:ascii="方正黑体_GBK" w:hAnsi="宋体" w:eastAsia="方正黑体_GBK"/>
          <w:b/>
          <w:bCs/>
          <w:sz w:val="32"/>
          <w:szCs w:val="32"/>
        </w:rPr>
      </w:pPr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巢湖学院第二课堂活动课程（项目）学分认证标准</w:t>
      </w:r>
    </w:p>
    <w:p>
      <w:pPr>
        <w:spacing w:beforeAutospacing="0" w:afterLines="50" w:afterAutospacing="0" w:line="400" w:lineRule="exact"/>
        <w:rPr>
          <w:rFonts w:ascii="宋体" w:hAnsi="宋体" w:eastAsiaTheme="minorEastAsia"/>
          <w:b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ascii="宋体" w:hAnsi="宋体"/>
          <w:sz w:val="24"/>
        </w:rPr>
        <w:t>各级各类</w:t>
      </w:r>
      <w:r>
        <w:rPr>
          <w:rFonts w:hint="eastAsia" w:ascii="宋体" w:hAnsi="宋体" w:eastAsiaTheme="minorEastAsia"/>
          <w:sz w:val="24"/>
        </w:rPr>
        <w:t>活动课程（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 w:eastAsiaTheme="minorEastAsia"/>
          <w:sz w:val="24"/>
        </w:rPr>
        <w:t>）</w:t>
      </w:r>
      <w:r>
        <w:rPr>
          <w:rFonts w:ascii="宋体" w:hAnsi="宋体"/>
          <w:sz w:val="24"/>
        </w:rPr>
        <w:t>分值标准</w:t>
      </w:r>
    </w:p>
    <w:tbl>
      <w:tblPr>
        <w:tblStyle w:val="3"/>
        <w:tblpPr w:leftFromText="180" w:rightFromText="180" w:vertAnchor="text" w:horzAnchor="page" w:tblpXSpec="center" w:tblpY="504"/>
        <w:tblOverlap w:val="never"/>
        <w:tblW w:w="7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50"/>
        <w:gridCol w:w="999"/>
        <w:gridCol w:w="1039"/>
        <w:gridCol w:w="1040"/>
        <w:gridCol w:w="104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Cs w:val="21"/>
              </w:rPr>
              <w:t>类别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Cs w:val="21"/>
              </w:rPr>
              <w:t>层级</w:t>
            </w:r>
            <w:bookmarkStart w:id="3" w:name="_GoBack"/>
            <w:bookmarkEnd w:id="3"/>
          </w:p>
        </w:tc>
        <w:tc>
          <w:tcPr>
            <w:tcW w:w="999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  <w:t>参加者</w:t>
            </w:r>
          </w:p>
        </w:tc>
        <w:tc>
          <w:tcPr>
            <w:tcW w:w="4159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  <w:t>获奖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Cs w:val="21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  <w:t>优秀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  <w:t>三等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  <w:t>二等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20"/>
                <w:szCs w:val="21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A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类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项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目</w:t>
            </w: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国家级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1.5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3.0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省级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0.5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校级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0.4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0.6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0.8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30"/>
                <w:szCs w:val="21"/>
              </w:rPr>
              <w:t>院 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B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类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项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目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国家级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1.5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3.0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省级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0.5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校级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0.4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0.6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0.8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30"/>
                <w:szCs w:val="21"/>
              </w:rPr>
              <w:t>院 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C类</w:t>
            </w:r>
          </w:p>
          <w:p>
            <w:pPr>
              <w:spacing w:beforeAutospacing="0" w:afterAutospacing="0" w:line="24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项目</w:t>
            </w: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校级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0.4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0.6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0.8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30"/>
                <w:szCs w:val="21"/>
              </w:rPr>
              <w:t>院 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87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30"/>
                <w:szCs w:val="21"/>
              </w:rPr>
              <w:t>D 类</w:t>
            </w:r>
          </w:p>
          <w:p>
            <w:pPr>
              <w:spacing w:beforeAutospacing="0" w:afterAutospacing="0" w:line="240" w:lineRule="atLeas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30"/>
                <w:szCs w:val="21"/>
              </w:rPr>
              <w:t>项目</w:t>
            </w:r>
          </w:p>
        </w:tc>
        <w:tc>
          <w:tcPr>
            <w:tcW w:w="175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-3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30"/>
                <w:szCs w:val="21"/>
              </w:rPr>
              <w:t>院 级</w:t>
            </w:r>
          </w:p>
        </w:tc>
        <w:tc>
          <w:tcPr>
            <w:tcW w:w="99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</w:t>
            </w:r>
          </w:p>
        </w:tc>
        <w:tc>
          <w:tcPr>
            <w:tcW w:w="1039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0.15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0.25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0.30</w:t>
            </w:r>
          </w:p>
        </w:tc>
        <w:tc>
          <w:tcPr>
            <w:tcW w:w="10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0.35</w:t>
            </w:r>
          </w:p>
        </w:tc>
      </w:tr>
    </w:tbl>
    <w:p>
      <w:pPr>
        <w:tabs>
          <w:tab w:val="left" w:pos="7140"/>
        </w:tabs>
        <w:spacing w:beforeAutospacing="0" w:afterAutospacing="0" w:line="400" w:lineRule="exact"/>
        <w:rPr>
          <w:rFonts w:hint="eastAsia" w:ascii="宋体" w:hAnsi="宋体" w:cs="宋体"/>
          <w:b/>
          <w:sz w:val="24"/>
        </w:rPr>
      </w:pPr>
    </w:p>
    <w:p>
      <w:pPr>
        <w:tabs>
          <w:tab w:val="left" w:pos="7140"/>
        </w:tabs>
        <w:spacing w:beforeAutospacing="0" w:afterAutospacing="0" w:line="400" w:lineRule="exact"/>
        <w:rPr>
          <w:rFonts w:hint="eastAsia" w:ascii="宋体" w:hAnsi="宋体" w:cs="宋体"/>
          <w:b/>
          <w:sz w:val="24"/>
        </w:rPr>
      </w:pPr>
    </w:p>
    <w:p>
      <w:pPr>
        <w:tabs>
          <w:tab w:val="left" w:pos="7140"/>
        </w:tabs>
        <w:spacing w:beforeAutospacing="0" w:afterAutospacing="0" w:line="400" w:lineRule="exact"/>
        <w:rPr>
          <w:rFonts w:hint="eastAsia" w:ascii="宋体" w:hAnsi="宋体" w:cs="宋体"/>
          <w:b/>
          <w:sz w:val="24"/>
        </w:rPr>
      </w:pPr>
    </w:p>
    <w:p>
      <w:pPr>
        <w:tabs>
          <w:tab w:val="left" w:pos="7140"/>
        </w:tabs>
        <w:spacing w:beforeAutospacing="0" w:afterAutospacing="0" w:line="400" w:lineRule="exact"/>
        <w:rPr>
          <w:rFonts w:ascii="宋体" w:hAnsi="宋体" w:eastAsiaTheme="minorEastAsia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</w:t>
      </w:r>
      <w:r>
        <w:rPr>
          <w:rFonts w:hint="eastAsia" w:ascii="宋体" w:hAnsi="宋体"/>
          <w:b/>
          <w:sz w:val="24"/>
        </w:rPr>
        <w:t>作品、专利(著)、资格证书等分值标准</w:t>
      </w:r>
    </w:p>
    <w:p>
      <w:pPr>
        <w:tabs>
          <w:tab w:val="left" w:pos="7140"/>
        </w:tabs>
        <w:spacing w:beforeAutospacing="0" w:afterAutospacing="0" w:line="400" w:lineRule="exact"/>
        <w:rPr>
          <w:rFonts w:ascii="宋体" w:hAnsi="宋体" w:cs="宋体" w:eastAsiaTheme="minorEastAsia"/>
          <w:b/>
          <w:sz w:val="24"/>
        </w:rPr>
      </w:pPr>
    </w:p>
    <w:tbl>
      <w:tblPr>
        <w:tblStyle w:val="3"/>
        <w:tblW w:w="8281" w:type="dxa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93"/>
        <w:gridCol w:w="1652"/>
        <w:gridCol w:w="3105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 目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等级和内容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学术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论文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国家级刊物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同一篇学术论文（课题）只计算前3名参与者分值。第一作者计标准分值60%，第二作者计标准分值30%。第三作者计标准分值10%。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省级刊物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其他正式刊物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正式会议交流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专著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专利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出版著作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发明专利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实用新型专利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课题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国家级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省部级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地市级及以下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文学艺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术作品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纸质杂志或媒体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国家级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88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按每件计分，其中在主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要门户、专题网站上发表的作品按照纸质版刊杂志的40%计分；同一内容在多个平台发布的，取最高分，不重复计分；</w:t>
            </w:r>
            <w:r>
              <w:rPr>
                <w:rFonts w:hint="eastAsia" w:ascii="仿宋_GB2312" w:hAnsi="宋体" w:eastAsia="仿宋_GB2312"/>
                <w:szCs w:val="21"/>
              </w:rPr>
              <w:t>博客、论坛等其他网站不计分。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省级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地市级及以下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电子杂志或媒体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国家级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</w:tr>
    </w:tbl>
    <w:p>
      <w:pPr>
        <w:spacing w:beforeAutospacing="0" w:afterAutospacing="0" w:line="400" w:lineRule="exact"/>
        <w:rPr>
          <w:rFonts w:hint="eastAsia" w:ascii="宋体" w:hAnsi="宋体" w:cs="宋体" w:eastAsiaTheme="minorEastAsia"/>
          <w:b/>
          <w:sz w:val="24"/>
        </w:rPr>
      </w:pPr>
    </w:p>
    <w:p>
      <w:pPr>
        <w:spacing w:beforeAutospacing="0" w:afterAutospacing="0" w:line="400" w:lineRule="exact"/>
        <w:rPr>
          <w:rFonts w:ascii="宋体" w:hAnsi="宋体" w:eastAsiaTheme="minorEastAsia"/>
          <w:b/>
          <w:sz w:val="24"/>
        </w:rPr>
      </w:pPr>
      <w:r>
        <w:rPr>
          <w:rFonts w:hint="eastAsia" w:ascii="宋体" w:hAnsi="宋体" w:cs="宋体" w:eastAsiaTheme="minorEastAsia"/>
          <w:b/>
          <w:sz w:val="24"/>
        </w:rPr>
        <w:t>（三）</w:t>
      </w:r>
      <w:r>
        <w:rPr>
          <w:rFonts w:hint="eastAsia" w:ascii="宋体" w:hAnsi="宋体"/>
          <w:b/>
          <w:sz w:val="24"/>
        </w:rPr>
        <w:t>参加社会工作分值标准</w:t>
      </w:r>
      <w:r>
        <w:rPr>
          <w:rFonts w:hint="eastAsia" w:ascii="宋体" w:hAnsi="宋体" w:eastAsiaTheme="minorEastAsia"/>
          <w:b/>
          <w:sz w:val="24"/>
        </w:rPr>
        <w:t xml:space="preserve"> 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1.在校学生会、社团联合会、青年志愿者联合会、汤山青年传媒中心、大学生素质拓展中心、大学生权益维护中心、校园文化服务中心、易班发展中心、大学生通讯社、校广播台等校级学生组织中，在学院团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委</w:t>
      </w:r>
      <w:r>
        <w:rPr>
          <w:rFonts w:hint="eastAsia" w:ascii="仿宋_GB2312" w:hAnsi="宋体" w:eastAsia="仿宋_GB2312"/>
          <w:sz w:val="28"/>
          <w:szCs w:val="28"/>
        </w:rPr>
        <w:t>、学生会、青协等院级学生组织中任职主席团成员，服务期满1学年，且经主管部门考核合格，认证1.0学分。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2.在各校级学生组织中，各团支委、班委会担任主要学生干部，各学生社团社长，服务期满1学年，且经主管部门考核合格，认证0.5学分。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3.担任各级各类运动会教练或者指导教师，体育俱乐部、艺术俱乐部等教师助理，经主管部门考核合格，认证0.3学分。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 w:val="28"/>
          <w:szCs w:val="28"/>
        </w:rPr>
        <w:t>4.在校内外等相关单位、组织从事其他社会工作（志愿服务除外），经主管部门审核，酌情认证0.1-0.3学分。</w:t>
      </w:r>
    </w:p>
    <w:p>
      <w:pPr>
        <w:spacing w:beforeAutospacing="0" w:afterLines="50" w:afterAutospacing="0" w:line="480" w:lineRule="exact"/>
        <w:rPr>
          <w:rFonts w:ascii="方正仿宋_GBK" w:hAnsi="宋体" w:eastAsia="方正仿宋_GBK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1C2625C1"/>
    <w:rsid w:val="0959521C"/>
    <w:rsid w:val="0C582D50"/>
    <w:rsid w:val="17434C2D"/>
    <w:rsid w:val="1C2625C1"/>
    <w:rsid w:val="649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33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2198</Words>
  <Characters>2400</Characters>
  <Lines>0</Lines>
  <Paragraphs>0</Paragraphs>
  <TotalTime>2</TotalTime>
  <ScaleCrop>false</ScaleCrop>
  <LinksUpToDate>false</LinksUpToDate>
  <CharactersWithSpaces>2409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2023-08-01T07:11:00Z</dcterms:created>
  <dc:creator>Administrator</dc:creator>
  <cp:lastModifiedBy>Administrator</cp:lastModifiedBy>
  <dcterms:modified xsi:type="dcterms:W3CDTF">2023-08-01T07:17:18Z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45D31067DF4B403AA9960F9652AB0D2A_13</vt:lpwstr>
  </property>
</Properties>
</file>